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b/>
          <w:u w:val="single"/>
        </w:rPr>
      </w:pPr>
      <w:bookmarkStart w:id="0" w:name="_GoBack"/>
      <w:bookmarkEnd w:id="0"/>
    </w:p>
    <w:p>
      <w:pPr>
        <w:rPr>
          <w:rFonts w:cs="Arial"/>
          <w:b/>
          <w:sz w:val="24"/>
          <w:u w:val="single"/>
        </w:rPr>
      </w:pPr>
      <w:r>
        <w:rPr>
          <w:rFonts w:cs="Arial"/>
          <w:b/>
          <w:sz w:val="24"/>
          <w:u w:val="single"/>
        </w:rPr>
        <w:t>Voraussichtliches Auftragsvolumen</w:t>
      </w:r>
    </w:p>
    <w:p>
      <w:pPr>
        <w:rPr>
          <w:rFonts w:cs="Arial"/>
          <w:b/>
          <w:sz w:val="24"/>
          <w:u w:val="single"/>
        </w:rPr>
      </w:pPr>
    </w:p>
    <w:p>
      <w:pPr>
        <w:spacing w:after="200" w:line="276" w:lineRule="auto"/>
        <w:rPr>
          <w:rFonts w:eastAsiaTheme="minorHAnsi" w:cs="Arial"/>
          <w:sz w:val="24"/>
          <w:lang w:eastAsia="en-US"/>
        </w:rPr>
      </w:pPr>
      <w:r>
        <w:rPr>
          <w:rFonts w:eastAsiaTheme="minorHAnsi" w:cs="Arial"/>
          <w:sz w:val="24"/>
          <w:lang w:eastAsia="en-US"/>
        </w:rPr>
        <w:t xml:space="preserve">Es wird darauf hingewiesen, dass durch den Auftraggeber parallel die Einführung eines Videodolmetschens geprüft wird. Da sich diese Variante noch in einer anfänglichen Planungsphase befindet, kann hinsichtlich einer grundsätzlichen Realisierung bzw. einem möglichen Einführungstermin noch keine Angabe gemacht werden. </w:t>
      </w:r>
    </w:p>
    <w:p>
      <w:pPr>
        <w:spacing w:after="200" w:line="276" w:lineRule="auto"/>
        <w:rPr>
          <w:rFonts w:eastAsiaTheme="minorHAnsi" w:cs="Arial"/>
          <w:sz w:val="24"/>
          <w:lang w:eastAsia="en-US"/>
        </w:rPr>
      </w:pPr>
      <w:r>
        <w:rPr>
          <w:rFonts w:eastAsiaTheme="minorHAnsi" w:cs="Arial"/>
          <w:sz w:val="24"/>
          <w:lang w:eastAsia="en-US"/>
        </w:rPr>
        <w:t xml:space="preserve">Durch die Einführung des Videodolmetschens können sich nicht unerhebliche Verschiebungen des voraussichtlichen Auftragsvolumens ergeben. </w:t>
      </w:r>
    </w:p>
    <w:p>
      <w:pPr>
        <w:spacing w:after="200" w:line="276" w:lineRule="auto"/>
        <w:rPr>
          <w:rFonts w:eastAsiaTheme="minorHAnsi" w:cs="Arial"/>
          <w:sz w:val="24"/>
          <w:lang w:eastAsia="en-US"/>
        </w:rPr>
      </w:pPr>
      <w:r>
        <w:rPr>
          <w:rFonts w:eastAsiaTheme="minorHAnsi" w:cs="Arial"/>
          <w:sz w:val="24"/>
          <w:lang w:eastAsia="en-US"/>
        </w:rPr>
        <w:t xml:space="preserve">Sollte bzgl. eines Videodolmetschens eine Realisierung in Betracht kommen, so wird in diesem Fall eine separate Ausschreibung erfolgen. </w:t>
      </w:r>
    </w:p>
    <w:p>
      <w:pPr>
        <w:spacing w:after="200" w:line="276" w:lineRule="auto"/>
        <w:rPr>
          <w:rFonts w:eastAsiaTheme="minorHAnsi" w:cs="Arial"/>
          <w:sz w:val="24"/>
          <w:lang w:eastAsia="en-US"/>
        </w:rPr>
      </w:pPr>
      <w:r>
        <w:rPr>
          <w:rFonts w:eastAsiaTheme="minorHAnsi" w:cs="Arial"/>
          <w:sz w:val="24"/>
          <w:lang w:eastAsia="en-US"/>
        </w:rPr>
        <w:t xml:space="preserve">Für die arabische und die Gebärdensprache erwarten wir die nachfolgenden Jahresbedarfe: </w:t>
      </w:r>
    </w:p>
    <w:p>
      <w:pPr>
        <w:rPr>
          <w:rFonts w:cs="Arial"/>
          <w:sz w:val="24"/>
        </w:rPr>
      </w:pPr>
    </w:p>
    <w:tbl>
      <w:tblPr>
        <w:tblStyle w:val="Tabellenraster"/>
        <w:tblW w:w="0" w:type="auto"/>
        <w:tblLook w:val="04A0" w:firstRow="1" w:lastRow="0" w:firstColumn="1" w:lastColumn="0" w:noHBand="0" w:noVBand="1"/>
      </w:tblPr>
      <w:tblGrid>
        <w:gridCol w:w="2710"/>
        <w:gridCol w:w="1793"/>
        <w:gridCol w:w="2268"/>
      </w:tblGrid>
      <w:tr>
        <w:tc>
          <w:tcPr>
            <w:tcW w:w="2710" w:type="dxa"/>
            <w:tcBorders>
              <w:top w:val="nil"/>
              <w:left w:val="single" w:sz="12" w:space="0" w:color="auto"/>
              <w:bottom w:val="single" w:sz="12" w:space="0" w:color="auto"/>
              <w:right w:val="single" w:sz="12" w:space="0" w:color="auto"/>
            </w:tcBorders>
          </w:tcPr>
          <w:p>
            <w:pPr>
              <w:jc w:val="both"/>
              <w:rPr>
                <w:rFonts w:cs="Arial"/>
                <w:b/>
                <w:sz w:val="24"/>
              </w:rPr>
            </w:pPr>
            <w:r>
              <w:rPr>
                <w:rFonts w:cs="Arial"/>
                <w:b/>
                <w:sz w:val="24"/>
              </w:rPr>
              <w:t>Sprache</w:t>
            </w:r>
          </w:p>
        </w:tc>
        <w:tc>
          <w:tcPr>
            <w:tcW w:w="4061" w:type="dxa"/>
            <w:gridSpan w:val="2"/>
            <w:tcBorders>
              <w:top w:val="nil"/>
              <w:left w:val="single" w:sz="12" w:space="0" w:color="auto"/>
              <w:bottom w:val="single" w:sz="12" w:space="0" w:color="auto"/>
              <w:right w:val="single" w:sz="12" w:space="0" w:color="auto"/>
            </w:tcBorders>
          </w:tcPr>
          <w:p>
            <w:pPr>
              <w:jc w:val="both"/>
              <w:rPr>
                <w:rFonts w:cs="Arial"/>
                <w:b/>
                <w:sz w:val="24"/>
              </w:rPr>
            </w:pPr>
            <w:r>
              <w:rPr>
                <w:rFonts w:cs="Arial"/>
                <w:b/>
                <w:sz w:val="24"/>
              </w:rPr>
              <w:t>Geschätzter Jahresbedarf (in h)</w:t>
            </w:r>
          </w:p>
        </w:tc>
      </w:tr>
      <w:tr>
        <w:tc>
          <w:tcPr>
            <w:tcW w:w="2710" w:type="dxa"/>
            <w:tcBorders>
              <w:top w:val="single" w:sz="12" w:space="0" w:color="auto"/>
              <w:bottom w:val="nil"/>
            </w:tcBorders>
          </w:tcPr>
          <w:p>
            <w:pPr>
              <w:jc w:val="both"/>
              <w:rPr>
                <w:rFonts w:cs="Arial"/>
                <w:sz w:val="24"/>
              </w:rPr>
            </w:pPr>
            <w:r>
              <w:rPr>
                <w:rFonts w:cs="Arial"/>
                <w:sz w:val="24"/>
              </w:rPr>
              <w:t>Arabisch</w:t>
            </w:r>
          </w:p>
        </w:tc>
        <w:tc>
          <w:tcPr>
            <w:tcW w:w="1793" w:type="dxa"/>
            <w:tcBorders>
              <w:top w:val="single" w:sz="12" w:space="0" w:color="auto"/>
              <w:bottom w:val="single" w:sz="8" w:space="0" w:color="auto"/>
              <w:right w:val="nil"/>
            </w:tcBorders>
          </w:tcPr>
          <w:p>
            <w:pPr>
              <w:jc w:val="right"/>
              <w:rPr>
                <w:rFonts w:cs="Arial"/>
                <w:sz w:val="24"/>
              </w:rPr>
            </w:pPr>
            <w:r>
              <w:rPr>
                <w:rFonts w:cs="Arial"/>
                <w:sz w:val="24"/>
              </w:rPr>
              <w:t>(1. Jahr)</w:t>
            </w:r>
          </w:p>
        </w:tc>
        <w:tc>
          <w:tcPr>
            <w:tcW w:w="2268" w:type="dxa"/>
            <w:tcBorders>
              <w:top w:val="single" w:sz="12" w:space="0" w:color="auto"/>
              <w:left w:val="nil"/>
              <w:bottom w:val="single" w:sz="8" w:space="0" w:color="auto"/>
            </w:tcBorders>
          </w:tcPr>
          <w:p>
            <w:pPr>
              <w:jc w:val="center"/>
              <w:rPr>
                <w:rFonts w:cs="Arial"/>
                <w:sz w:val="24"/>
              </w:rPr>
            </w:pPr>
            <w:r>
              <w:rPr>
                <w:rFonts w:cs="Arial"/>
                <w:sz w:val="24"/>
              </w:rPr>
              <w:t>3.572,5</w:t>
            </w:r>
          </w:p>
        </w:tc>
      </w:tr>
      <w:tr>
        <w:tc>
          <w:tcPr>
            <w:tcW w:w="2710" w:type="dxa"/>
            <w:tcBorders>
              <w:top w:val="nil"/>
              <w:bottom w:val="nil"/>
            </w:tcBorders>
          </w:tcPr>
          <w:p>
            <w:pPr>
              <w:jc w:val="both"/>
              <w:rPr>
                <w:rFonts w:cs="Arial"/>
                <w:sz w:val="24"/>
              </w:rPr>
            </w:pPr>
          </w:p>
        </w:tc>
        <w:tc>
          <w:tcPr>
            <w:tcW w:w="1793" w:type="dxa"/>
            <w:tcBorders>
              <w:top w:val="single" w:sz="8" w:space="0" w:color="auto"/>
              <w:bottom w:val="single" w:sz="8" w:space="0" w:color="auto"/>
              <w:right w:val="nil"/>
            </w:tcBorders>
          </w:tcPr>
          <w:p>
            <w:pPr>
              <w:jc w:val="right"/>
              <w:rPr>
                <w:rFonts w:cs="Arial"/>
                <w:sz w:val="24"/>
              </w:rPr>
            </w:pPr>
            <w:r>
              <w:rPr>
                <w:rFonts w:cs="Arial"/>
                <w:sz w:val="24"/>
              </w:rPr>
              <w:t>(2. Jahr)</w:t>
            </w:r>
          </w:p>
        </w:tc>
        <w:tc>
          <w:tcPr>
            <w:tcW w:w="2268" w:type="dxa"/>
            <w:tcBorders>
              <w:top w:val="single" w:sz="8" w:space="0" w:color="auto"/>
              <w:left w:val="nil"/>
              <w:bottom w:val="single" w:sz="8" w:space="0" w:color="auto"/>
            </w:tcBorders>
          </w:tcPr>
          <w:p>
            <w:pPr>
              <w:jc w:val="center"/>
              <w:rPr>
                <w:rFonts w:cs="Arial"/>
                <w:sz w:val="24"/>
              </w:rPr>
            </w:pPr>
            <w:r>
              <w:rPr>
                <w:rFonts w:cs="Arial"/>
                <w:sz w:val="24"/>
              </w:rPr>
              <w:t>1.786,3</w:t>
            </w:r>
          </w:p>
        </w:tc>
      </w:tr>
      <w:tr>
        <w:tc>
          <w:tcPr>
            <w:tcW w:w="2710" w:type="dxa"/>
            <w:tcBorders>
              <w:top w:val="nil"/>
              <w:bottom w:val="nil"/>
            </w:tcBorders>
          </w:tcPr>
          <w:p>
            <w:pPr>
              <w:jc w:val="both"/>
              <w:rPr>
                <w:rFonts w:cs="Arial"/>
                <w:sz w:val="24"/>
              </w:rPr>
            </w:pPr>
          </w:p>
        </w:tc>
        <w:tc>
          <w:tcPr>
            <w:tcW w:w="1793" w:type="dxa"/>
            <w:tcBorders>
              <w:top w:val="single" w:sz="8" w:space="0" w:color="auto"/>
              <w:bottom w:val="single" w:sz="8" w:space="0" w:color="auto"/>
              <w:right w:val="nil"/>
            </w:tcBorders>
          </w:tcPr>
          <w:p>
            <w:pPr>
              <w:jc w:val="right"/>
              <w:rPr>
                <w:rFonts w:cs="Arial"/>
                <w:sz w:val="24"/>
              </w:rPr>
            </w:pPr>
            <w:r>
              <w:rPr>
                <w:rFonts w:cs="Arial"/>
                <w:sz w:val="24"/>
              </w:rPr>
              <w:t>(3. Jahr)</w:t>
            </w:r>
          </w:p>
        </w:tc>
        <w:tc>
          <w:tcPr>
            <w:tcW w:w="2268" w:type="dxa"/>
            <w:tcBorders>
              <w:top w:val="single" w:sz="8" w:space="0" w:color="auto"/>
              <w:left w:val="nil"/>
              <w:bottom w:val="single" w:sz="8" w:space="0" w:color="auto"/>
            </w:tcBorders>
          </w:tcPr>
          <w:p>
            <w:pPr>
              <w:jc w:val="center"/>
              <w:rPr>
                <w:rFonts w:cs="Arial"/>
                <w:sz w:val="24"/>
              </w:rPr>
            </w:pPr>
            <w:r>
              <w:rPr>
                <w:rFonts w:cs="Arial"/>
                <w:sz w:val="24"/>
              </w:rPr>
              <w:t>1.786,3</w:t>
            </w:r>
          </w:p>
        </w:tc>
      </w:tr>
      <w:tr>
        <w:tc>
          <w:tcPr>
            <w:tcW w:w="2710" w:type="dxa"/>
            <w:tcBorders>
              <w:top w:val="nil"/>
              <w:left w:val="single" w:sz="8" w:space="0" w:color="auto"/>
              <w:bottom w:val="single" w:sz="8" w:space="0" w:color="auto"/>
            </w:tcBorders>
          </w:tcPr>
          <w:p>
            <w:pPr>
              <w:jc w:val="both"/>
              <w:rPr>
                <w:rFonts w:cs="Arial"/>
                <w:sz w:val="24"/>
              </w:rPr>
            </w:pPr>
          </w:p>
        </w:tc>
        <w:tc>
          <w:tcPr>
            <w:tcW w:w="1793" w:type="dxa"/>
            <w:tcBorders>
              <w:top w:val="single" w:sz="8" w:space="0" w:color="auto"/>
              <w:bottom w:val="single" w:sz="8" w:space="0" w:color="auto"/>
              <w:right w:val="nil"/>
            </w:tcBorders>
          </w:tcPr>
          <w:p>
            <w:pPr>
              <w:jc w:val="right"/>
              <w:rPr>
                <w:rFonts w:cs="Arial"/>
                <w:sz w:val="24"/>
              </w:rPr>
            </w:pPr>
            <w:r>
              <w:rPr>
                <w:rFonts w:cs="Arial"/>
                <w:sz w:val="24"/>
              </w:rPr>
              <w:t>(4. Jahr)</w:t>
            </w:r>
          </w:p>
        </w:tc>
        <w:tc>
          <w:tcPr>
            <w:tcW w:w="2268" w:type="dxa"/>
            <w:tcBorders>
              <w:top w:val="single" w:sz="8" w:space="0" w:color="auto"/>
              <w:left w:val="nil"/>
              <w:bottom w:val="single" w:sz="8" w:space="0" w:color="auto"/>
            </w:tcBorders>
          </w:tcPr>
          <w:p>
            <w:pPr>
              <w:jc w:val="center"/>
              <w:rPr>
                <w:rFonts w:cs="Arial"/>
                <w:sz w:val="24"/>
              </w:rPr>
            </w:pPr>
            <w:r>
              <w:rPr>
                <w:rFonts w:cs="Arial"/>
                <w:sz w:val="24"/>
              </w:rPr>
              <w:t>1.786,3</w:t>
            </w:r>
          </w:p>
        </w:tc>
      </w:tr>
      <w:tr>
        <w:tc>
          <w:tcPr>
            <w:tcW w:w="2710" w:type="dxa"/>
            <w:tcBorders>
              <w:top w:val="single" w:sz="8" w:space="0" w:color="auto"/>
              <w:left w:val="single" w:sz="8" w:space="0" w:color="auto"/>
            </w:tcBorders>
          </w:tcPr>
          <w:p>
            <w:pPr>
              <w:jc w:val="both"/>
              <w:rPr>
                <w:rFonts w:cs="Arial"/>
                <w:sz w:val="24"/>
              </w:rPr>
            </w:pPr>
            <w:r>
              <w:rPr>
                <w:rFonts w:cs="Arial"/>
                <w:sz w:val="24"/>
              </w:rPr>
              <w:t>Gebärdensprache</w:t>
            </w:r>
          </w:p>
        </w:tc>
        <w:tc>
          <w:tcPr>
            <w:tcW w:w="1793" w:type="dxa"/>
            <w:tcBorders>
              <w:top w:val="single" w:sz="8" w:space="0" w:color="auto"/>
              <w:right w:val="nil"/>
            </w:tcBorders>
          </w:tcPr>
          <w:p>
            <w:pPr>
              <w:jc w:val="right"/>
              <w:rPr>
                <w:rFonts w:cs="Arial"/>
                <w:sz w:val="24"/>
              </w:rPr>
            </w:pPr>
          </w:p>
        </w:tc>
        <w:tc>
          <w:tcPr>
            <w:tcW w:w="2268" w:type="dxa"/>
            <w:tcBorders>
              <w:top w:val="single" w:sz="8" w:space="0" w:color="auto"/>
              <w:left w:val="nil"/>
            </w:tcBorders>
          </w:tcPr>
          <w:p>
            <w:pPr>
              <w:jc w:val="center"/>
              <w:rPr>
                <w:rFonts w:cs="Arial"/>
                <w:sz w:val="24"/>
              </w:rPr>
            </w:pPr>
            <w:r>
              <w:rPr>
                <w:rFonts w:cs="Arial"/>
                <w:sz w:val="24"/>
              </w:rPr>
              <w:t>30,75</w:t>
            </w:r>
          </w:p>
        </w:tc>
      </w:tr>
    </w:tbl>
    <w:p>
      <w:pPr>
        <w:jc w:val="both"/>
        <w:rPr>
          <w:rFonts w:cs="Arial"/>
          <w:sz w:val="24"/>
        </w:rPr>
      </w:pPr>
    </w:p>
    <w:p>
      <w:pPr>
        <w:spacing w:after="200" w:line="276" w:lineRule="auto"/>
        <w:rPr>
          <w:rFonts w:eastAsiaTheme="minorHAnsi" w:cs="Arial"/>
          <w:sz w:val="24"/>
          <w:lang w:eastAsia="en-US"/>
        </w:rPr>
      </w:pPr>
      <w:r>
        <w:rPr>
          <w:rFonts w:eastAsiaTheme="minorHAnsi" w:cs="Arial"/>
          <w:sz w:val="24"/>
          <w:lang w:eastAsia="en-US"/>
        </w:rPr>
        <w:t>Für die weiteren Lose gemäß der Leistungsbeschreibung kann, aufgrund nicht vorhandener Vergleichswerte der Vergangenheit, keine Bedarfsschätzung erfolgen. Seitens des Auftraggebers wird jedoch davon ausgegangen, dass durch die fortlaufende Flüchtlingsentwicklung ein entsprechender Bedarf entstehen wird, der derzeit noch nicht quantifizierbar ist.</w:t>
      </w:r>
    </w:p>
    <w:p>
      <w:pPr>
        <w:spacing w:after="200" w:line="276" w:lineRule="auto"/>
        <w:rPr>
          <w:rFonts w:eastAsiaTheme="minorHAnsi" w:cs="Arial"/>
          <w:sz w:val="24"/>
          <w:lang w:eastAsia="en-US"/>
        </w:rPr>
      </w:pPr>
    </w:p>
    <w:sectPr>
      <w:headerReference w:type="default" r:id="rId8"/>
      <w:footerReference w:type="default" r:id="rId9"/>
      <w:pgSz w:w="11906" w:h="16838"/>
      <w:pgMar w:top="1701" w:right="1417" w:bottom="1134" w:left="1417" w:header="567"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uzeile"/>
      <w:pBdr>
        <w:top w:val="thinThickSmallGap" w:sz="24" w:space="1" w:color="622423" w:themeColor="accent2" w:themeShade="7F"/>
      </w:pBdr>
      <w:rPr>
        <w:rFonts w:eastAsiaTheme="majorEastAsia" w:cs="Arial"/>
        <w:sz w:val="16"/>
        <w:szCs w:val="16"/>
      </w:rPr>
    </w:pPr>
  </w:p>
  <w:p>
    <w:pPr>
      <w:pStyle w:val="Fuzeile"/>
      <w:pBdr>
        <w:top w:val="thinThickSmallGap" w:sz="24" w:space="1" w:color="622423" w:themeColor="accent2" w:themeShade="7F"/>
      </w:pBdr>
      <w:rPr>
        <w:rFonts w:eastAsiaTheme="majorEastAsia" w:cs="Arial"/>
        <w:sz w:val="16"/>
        <w:szCs w:val="16"/>
      </w:rPr>
    </w:pPr>
  </w:p>
  <w:p>
    <w:pPr>
      <w:pStyle w:val="Fuzeile"/>
      <w:pBdr>
        <w:top w:val="thinThickSmallGap" w:sz="24" w:space="1" w:color="622423" w:themeColor="accent2" w:themeShade="7F"/>
      </w:pBdr>
      <w:rPr>
        <w:rFonts w:eastAsiaTheme="majorEastAsia" w:cs="Arial"/>
        <w:sz w:val="20"/>
        <w:szCs w:val="20"/>
      </w:rPr>
    </w:pPr>
    <w:r>
      <w:rPr>
        <w:rFonts w:eastAsiaTheme="majorEastAsia" w:cs="Arial"/>
        <w:sz w:val="20"/>
        <w:szCs w:val="20"/>
      </w:rPr>
      <w:t>Stand: 11</w:t>
    </w:r>
    <w:r>
      <w:rPr>
        <w:rFonts w:eastAsiaTheme="majorEastAsia" w:cs="Arial"/>
        <w:sz w:val="20"/>
        <w:szCs w:val="20"/>
      </w:rPr>
      <w:t>.</w:t>
    </w:r>
    <w:r>
      <w:rPr>
        <w:rFonts w:eastAsiaTheme="majorEastAsia" w:cs="Arial"/>
        <w:sz w:val="20"/>
        <w:szCs w:val="20"/>
      </w:rPr>
      <w:t>0</w:t>
    </w:r>
    <w:r>
      <w:rPr>
        <w:rFonts w:eastAsiaTheme="majorEastAsia" w:cs="Arial"/>
        <w:sz w:val="20"/>
        <w:szCs w:val="20"/>
      </w:rPr>
      <w:t>1</w:t>
    </w:r>
    <w:r>
      <w:rPr>
        <w:rFonts w:eastAsiaTheme="majorEastAsia" w:cs="Arial"/>
        <w:sz w:val="20"/>
        <w:szCs w:val="20"/>
      </w:rPr>
      <w:t>.201</w:t>
    </w:r>
    <w:r>
      <w:rPr>
        <w:rFonts w:eastAsiaTheme="majorEastAsia" w:cs="Arial"/>
        <w:sz w:val="20"/>
        <w:szCs w:val="20"/>
      </w:rPr>
      <w:t>7</w:t>
    </w:r>
    <w:r>
      <w:rPr>
        <w:rFonts w:eastAsiaTheme="majorEastAsia" w:cs="Arial"/>
        <w:sz w:val="20"/>
        <w:szCs w:val="20"/>
      </w:rPr>
      <w:t xml:space="preserve"> </w:t>
    </w:r>
    <w:r>
      <w:rPr>
        <w:rFonts w:eastAsiaTheme="majorEastAsia" w:cs="Arial"/>
        <w:sz w:val="20"/>
        <w:szCs w:val="20"/>
      </w:rPr>
      <w:tab/>
    </w:r>
    <w:r>
      <w:rPr>
        <w:sz w:val="20"/>
        <w:szCs w:val="20"/>
      </w:rPr>
      <w:t>(ZV) 19-21-</w:t>
    </w:r>
    <w:r>
      <w:rPr>
        <w:sz w:val="20"/>
        <w:szCs w:val="20"/>
      </w:rPr>
      <w:t>80</w:t>
    </w:r>
    <w:r>
      <w:rPr>
        <w:sz w:val="20"/>
        <w:szCs w:val="20"/>
      </w:rPr>
      <w:t>-</w:t>
    </w:r>
    <w:r>
      <w:rPr>
        <w:sz w:val="20"/>
        <w:szCs w:val="20"/>
      </w:rPr>
      <w:t>18</w:t>
    </w:r>
    <w:r>
      <w:rPr>
        <w:sz w:val="20"/>
        <w:szCs w:val="20"/>
      </w:rPr>
      <w:t>/1</w:t>
    </w:r>
    <w:r>
      <w:rPr>
        <w:sz w:val="20"/>
        <w:szCs w:val="20"/>
      </w:rPr>
      <w:t>7</w:t>
    </w:r>
    <w:r>
      <w:rPr>
        <w:rFonts w:eastAsiaTheme="majorEastAsia" w:cs="Arial"/>
        <w:sz w:val="20"/>
        <w:szCs w:val="20"/>
      </w:rPr>
      <w:tab/>
    </w:r>
    <w:r>
      <w:rPr>
        <w:rFonts w:eastAsiaTheme="majorEastAsia" w:cs="Arial"/>
        <w:sz w:val="20"/>
        <w:szCs w:val="20"/>
      </w:rPr>
      <w:t xml:space="preserve">Seite </w:t>
    </w:r>
    <w:r>
      <w:rPr>
        <w:rFonts w:eastAsiaTheme="majorEastAsia" w:cs="Arial"/>
        <w:sz w:val="20"/>
        <w:szCs w:val="20"/>
      </w:rPr>
      <w:fldChar w:fldCharType="begin"/>
    </w:r>
    <w:r>
      <w:rPr>
        <w:rFonts w:eastAsiaTheme="majorEastAsia" w:cs="Arial"/>
        <w:sz w:val="20"/>
        <w:szCs w:val="20"/>
      </w:rPr>
      <w:instrText>PAGE  \* Arabic  \* MERGEFORMAT</w:instrText>
    </w:r>
    <w:r>
      <w:rPr>
        <w:rFonts w:eastAsiaTheme="majorEastAsia" w:cs="Arial"/>
        <w:sz w:val="20"/>
        <w:szCs w:val="20"/>
      </w:rPr>
      <w:fldChar w:fldCharType="separate"/>
    </w:r>
    <w:r>
      <w:rPr>
        <w:rFonts w:eastAsiaTheme="majorEastAsia" w:cs="Arial"/>
        <w:noProof/>
        <w:sz w:val="20"/>
        <w:szCs w:val="20"/>
      </w:rPr>
      <w:t>1</w:t>
    </w:r>
    <w:r>
      <w:rPr>
        <w:rFonts w:eastAsiaTheme="majorEastAsia" w:cs="Arial"/>
        <w:sz w:val="20"/>
        <w:szCs w:val="20"/>
      </w:rPr>
      <w:fldChar w:fldCharType="end"/>
    </w:r>
    <w:r>
      <w:rPr>
        <w:rFonts w:eastAsiaTheme="majorEastAsia" w:cs="Arial"/>
        <w:sz w:val="20"/>
        <w:szCs w:val="20"/>
      </w:rPr>
      <w:t xml:space="preserve"> von </w:t>
    </w:r>
    <w:r>
      <w:rPr>
        <w:rFonts w:eastAsiaTheme="majorEastAsia" w:cs="Arial"/>
        <w:sz w:val="20"/>
        <w:szCs w:val="20"/>
      </w:rPr>
      <w:fldChar w:fldCharType="begin"/>
    </w:r>
    <w:r>
      <w:rPr>
        <w:rFonts w:eastAsiaTheme="majorEastAsia" w:cs="Arial"/>
        <w:sz w:val="20"/>
        <w:szCs w:val="20"/>
      </w:rPr>
      <w:instrText>NUMPAGES  \* Arabic  \* MERGEFORMAT</w:instrText>
    </w:r>
    <w:r>
      <w:rPr>
        <w:rFonts w:eastAsiaTheme="majorEastAsia" w:cs="Arial"/>
        <w:sz w:val="20"/>
        <w:szCs w:val="20"/>
      </w:rPr>
      <w:fldChar w:fldCharType="separate"/>
    </w:r>
    <w:r>
      <w:rPr>
        <w:rFonts w:eastAsiaTheme="majorEastAsia" w:cs="Arial"/>
        <w:noProof/>
        <w:sz w:val="20"/>
        <w:szCs w:val="20"/>
      </w:rPr>
      <w:t>1</w:t>
    </w:r>
    <w:r>
      <w:rPr>
        <w:rFonts w:eastAsiaTheme="majorEastAsia"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Kopfzeile"/>
      <w:jc w:val="right"/>
      <w:rPr>
        <w:rFonts w:cs="Arial"/>
        <w:sz w:val="24"/>
      </w:rPr>
    </w:pPr>
    <w:r>
      <w:rPr>
        <w:rFonts w:cs="Arial"/>
        <w:sz w:val="24"/>
      </w:rPr>
      <w:t>Anlage 1</w:t>
    </w:r>
  </w:p>
  <w:p>
    <w:pPr>
      <w:pStyle w:val="Kopfzeile"/>
      <w:rPr>
        <w:rFonts w:cs="Arial"/>
        <w:sz w:val="24"/>
      </w:rPr>
    </w:pPr>
    <w:r>
      <w:rPr>
        <w:rFonts w:cs="Arial"/>
        <w:sz w:val="24"/>
      </w:rPr>
      <w:t>Rahmenvertrag bedarfsabhängige Dolmetscherleistungen</w:t>
    </w:r>
  </w:p>
  <w:p>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7154DDF"/>
    <w:multiLevelType w:val="hybridMultilevel"/>
    <w:tmpl w:val="88BC3F9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245A4A08"/>
    <w:multiLevelType w:val="hybridMultilevel"/>
    <w:tmpl w:val="8806C33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D8B6A03"/>
    <w:multiLevelType w:val="hybridMultilevel"/>
    <w:tmpl w:val="59CA04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2E5241AF"/>
    <w:multiLevelType w:val="hybridMultilevel"/>
    <w:tmpl w:val="E718122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3CE67106"/>
    <w:multiLevelType w:val="hybridMultilevel"/>
    <w:tmpl w:val="9BDA812A"/>
    <w:lvl w:ilvl="0" w:tplc="2114588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25"/>
  </w:num>
  <w:num w:numId="3">
    <w:abstractNumId w:val="24"/>
  </w:num>
  <w:num w:numId="4">
    <w:abstractNumId w:val="35"/>
  </w:num>
  <w:num w:numId="5">
    <w:abstractNumId w:val="15"/>
  </w:num>
  <w:num w:numId="6">
    <w:abstractNumId w:val="6"/>
  </w:num>
  <w:num w:numId="7">
    <w:abstractNumId w:val="39"/>
  </w:num>
  <w:num w:numId="8">
    <w:abstractNumId w:val="26"/>
  </w:num>
  <w:num w:numId="9">
    <w:abstractNumId w:val="5"/>
  </w:num>
  <w:num w:numId="10">
    <w:abstractNumId w:val="32"/>
  </w:num>
  <w:num w:numId="11">
    <w:abstractNumId w:val="20"/>
  </w:num>
  <w:num w:numId="12">
    <w:abstractNumId w:val="34"/>
  </w:num>
  <w:num w:numId="13">
    <w:abstractNumId w:val="36"/>
  </w:num>
  <w:num w:numId="14">
    <w:abstractNumId w:val="0"/>
  </w:num>
  <w:num w:numId="15">
    <w:abstractNumId w:val="29"/>
  </w:num>
  <w:num w:numId="16">
    <w:abstractNumId w:val="37"/>
  </w:num>
  <w:num w:numId="17">
    <w:abstractNumId w:val="9"/>
  </w:num>
  <w:num w:numId="18">
    <w:abstractNumId w:val="11"/>
  </w:num>
  <w:num w:numId="19">
    <w:abstractNumId w:val="23"/>
  </w:num>
  <w:num w:numId="20">
    <w:abstractNumId w:val="41"/>
  </w:num>
  <w:num w:numId="21">
    <w:abstractNumId w:val="17"/>
  </w:num>
  <w:num w:numId="22">
    <w:abstractNumId w:val="21"/>
  </w:num>
  <w:num w:numId="23">
    <w:abstractNumId w:val="1"/>
  </w:num>
  <w:num w:numId="24">
    <w:abstractNumId w:val="33"/>
  </w:num>
  <w:num w:numId="25">
    <w:abstractNumId w:val="7"/>
  </w:num>
  <w:num w:numId="26">
    <w:abstractNumId w:val="18"/>
  </w:num>
  <w:num w:numId="27">
    <w:abstractNumId w:val="12"/>
  </w:num>
  <w:num w:numId="28">
    <w:abstractNumId w:val="30"/>
  </w:num>
  <w:num w:numId="29">
    <w:abstractNumId w:val="40"/>
  </w:num>
  <w:num w:numId="30">
    <w:abstractNumId w:val="43"/>
  </w:num>
  <w:num w:numId="31">
    <w:abstractNumId w:val="31"/>
  </w:num>
  <w:num w:numId="32">
    <w:abstractNumId w:val="3"/>
  </w:num>
  <w:num w:numId="33">
    <w:abstractNumId w:val="44"/>
  </w:num>
  <w:num w:numId="34">
    <w:abstractNumId w:val="4"/>
  </w:num>
  <w:num w:numId="35">
    <w:abstractNumId w:val="2"/>
  </w:num>
  <w:num w:numId="36">
    <w:abstractNumId w:val="16"/>
  </w:num>
  <w:num w:numId="37">
    <w:abstractNumId w:val="28"/>
  </w:num>
  <w:num w:numId="38">
    <w:abstractNumId w:val="42"/>
  </w:num>
  <w:num w:numId="39">
    <w:abstractNumId w:val="38"/>
  </w:num>
  <w:num w:numId="40">
    <w:abstractNumId w:val="8"/>
  </w:num>
  <w:num w:numId="41">
    <w:abstractNumId w:val="27"/>
  </w:num>
  <w:num w:numId="42">
    <w:abstractNumId w:val="22"/>
  </w:num>
  <w:num w:numId="43">
    <w:abstractNumId w:val="19"/>
  </w:num>
  <w:num w:numId="44">
    <w:abstractNumId w:val="13"/>
  </w:num>
  <w:num w:numId="45">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hStujicz/HH6Y/9qiSHdAGEydNY=" w:salt="So28zgWkuPcSmDxAs0eA2Q=="/>
  <w:defaultTabStop w:val="708"/>
  <w:hyphenationZone w:val="425"/>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pPr>
      <w:ind w:left="720"/>
      <w:contextualSpacing/>
    </w:p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basedOn w:val="Absatz-Standardschriftart"/>
    <w:link w:val="Kopfzeile"/>
    <w:uiPriority w:val="99"/>
    <w:rPr>
      <w:rFonts w:ascii="Arial" w:hAnsi="Arial"/>
      <w:sz w:val="22"/>
      <w:szCs w:val="24"/>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basedOn w:val="Absatz-Standardschriftart"/>
    <w:link w:val="Fuzeile"/>
    <w:uiPriority w:val="99"/>
    <w:rPr>
      <w:rFonts w:ascii="Arial" w:hAnsi="Arial"/>
      <w:sz w:val="22"/>
      <w:szCs w:val="24"/>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basedOn w:val="Absatz-Standardschriftart"/>
    <w:link w:val="Sprechblasentext"/>
    <w:rPr>
      <w:rFonts w:ascii="Tahoma" w:hAnsi="Tahoma" w:cs="Tahoma"/>
      <w:sz w:val="16"/>
      <w:szCs w:val="16"/>
    </w:rPr>
  </w:style>
  <w:style w:type="paragraph" w:customStyle="1" w:styleId="Default">
    <w:name w:val="Default"/>
    <w:pPr>
      <w:autoSpaceDE w:val="0"/>
      <w:autoSpaceDN w:val="0"/>
      <w:adjustRightInd w:val="0"/>
    </w:pPr>
    <w:rPr>
      <w:rFonts w:ascii="Arial" w:hAnsi="Arial" w:cs="Arial"/>
      <w:color w:val="000000"/>
      <w:sz w:val="24"/>
      <w:szCs w:val="24"/>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pPr>
      <w:ind w:left="720"/>
      <w:contextualSpacing/>
    </w:p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basedOn w:val="Absatz-Standardschriftart"/>
    <w:link w:val="Kopfzeile"/>
    <w:uiPriority w:val="99"/>
    <w:rPr>
      <w:rFonts w:ascii="Arial" w:hAnsi="Arial"/>
      <w:sz w:val="22"/>
      <w:szCs w:val="24"/>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basedOn w:val="Absatz-Standardschriftart"/>
    <w:link w:val="Fuzeile"/>
    <w:uiPriority w:val="99"/>
    <w:rPr>
      <w:rFonts w:ascii="Arial" w:hAnsi="Arial"/>
      <w:sz w:val="22"/>
      <w:szCs w:val="24"/>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basedOn w:val="Absatz-Standardschriftart"/>
    <w:link w:val="Sprechblasentext"/>
    <w:rPr>
      <w:rFonts w:ascii="Tahoma" w:hAnsi="Tahoma" w:cs="Tahoma"/>
      <w:sz w:val="16"/>
      <w:szCs w:val="16"/>
    </w:rPr>
  </w:style>
  <w:style w:type="paragraph" w:customStyle="1" w:styleId="Default">
    <w:name w:val="Default"/>
    <w:pPr>
      <w:autoSpaceDE w:val="0"/>
      <w:autoSpaceDN w:val="0"/>
      <w:adjustRightInd w:val="0"/>
    </w:pPr>
    <w:rPr>
      <w:rFonts w:ascii="Arial" w:hAnsi="Arial" w:cs="Arial"/>
      <w:color w:val="000000"/>
      <w:sz w:val="24"/>
      <w:szCs w:val="24"/>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871806">
      <w:bodyDiv w:val="1"/>
      <w:marLeft w:val="0"/>
      <w:marRight w:val="0"/>
      <w:marTop w:val="0"/>
      <w:marBottom w:val="0"/>
      <w:divBdr>
        <w:top w:val="none" w:sz="0" w:space="0" w:color="auto"/>
        <w:left w:val="none" w:sz="0" w:space="0" w:color="auto"/>
        <w:bottom w:val="none" w:sz="0" w:space="0" w:color="auto"/>
        <w:right w:val="none" w:sz="0" w:space="0" w:color="auto"/>
      </w:divBdr>
    </w:div>
    <w:div w:id="61016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144</Words>
  <Characters>1080</Characters>
  <Application>Microsoft Office Word</Application>
  <DocSecurity>8</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1222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Michael</dc:creator>
  <cp:keywords/>
  <dc:description/>
  <cp:lastModifiedBy>Steck, Ingrid</cp:lastModifiedBy>
  <cp:revision>74</cp:revision>
  <cp:lastPrinted>2017-01-24T10:13:00Z</cp:lastPrinted>
  <dcterms:created xsi:type="dcterms:W3CDTF">2013-01-17T14:19:00Z</dcterms:created>
  <dcterms:modified xsi:type="dcterms:W3CDTF">2017-01-24T10:13:00Z</dcterms:modified>
</cp:coreProperties>
</file>